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DBDC" w14:textId="77777777" w:rsidR="006A00AC" w:rsidRPr="006A00AC" w:rsidRDefault="006A00AC" w:rsidP="00A27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  <w:b/>
        </w:rPr>
        <w:t>COMUNICATO STAMPA</w:t>
      </w:r>
    </w:p>
    <w:p w14:paraId="78D4391F" w14:textId="77777777" w:rsidR="006A00AC" w:rsidRPr="006A00AC" w:rsidRDefault="006A00AC" w:rsidP="00A278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it-IT"/>
          <w14:ligatures w14:val="none"/>
        </w:rPr>
      </w:pPr>
      <w:r>
        <w:rPr>
          <w:rFonts w:ascii="Times New Roman" w:eastAsia="Times New Roman" w:hAnsi="Times New Roman"/>
          <w:b/>
          <w:sz w:val="32"/>
        </w:rPr>
        <w:t>Santa Sofia, il patrimonio UNESCO può diventare il motore di un turismo più stabile e diffuso</w:t>
      </w:r>
    </w:p>
    <w:p w14:paraId="00A04EEE" w14:textId="1B459983" w:rsidR="006A00AC" w:rsidRPr="006A00AC" w:rsidRDefault="00AE478C" w:rsidP="00A278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/>
          <w:i/>
          <w:sz w:val="28"/>
        </w:rPr>
        <w:t>Il nuovo report territoriale di ISNART e Mirabilia fotografa punti di forza e criticità della destinazione Benevento: crescono i visitatori dei musei e le imprese turistiche, ma presenze e permanenza restano ancora al di sotto delle potenzialità.</w:t>
      </w:r>
    </w:p>
    <w:p w14:paraId="2100ACE5" w14:textId="1CB26FE4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  <w:b/>
        </w:rPr>
        <w:t xml:space="preserve">BENEVENTO, </w:t>
      </w:r>
      <w:r w:rsidR="00B60E17">
        <w:rPr>
          <w:rFonts w:ascii="Times New Roman" w:eastAsia="Times New Roman" w:hAnsi="Times New Roman"/>
          <w:b/>
        </w:rPr>
        <w:t>13 luglio 2026</w:t>
      </w:r>
      <w:r>
        <w:rPr>
          <w:rFonts w:ascii="Times New Roman" w:eastAsia="Times New Roman" w:hAnsi="Times New Roman"/>
          <w:b/>
        </w:rPr>
        <w:t xml:space="preserve"> – </w:t>
      </w:r>
      <w:r>
        <w:rPr>
          <w:rFonts w:ascii="Times New Roman" w:eastAsia="Times New Roman" w:hAnsi="Times New Roman"/>
        </w:rPr>
        <w:t>Il Complesso monumentale di Santa Sofia, parte del sito seriale UNESCO “I Longobardi in Italia. I luoghi del potere”, è una delle principali risorse identitarie e culturali del Sannio. Il riconoscimento, ottenuto nel 2011, può rappresentare una leva ancora più incisiva per consolidare l’attrattività di Benevento e favorire uno sviluppo turistico sostenibile e diffuso.</w:t>
      </w:r>
    </w:p>
    <w:p w14:paraId="31F59C05" w14:textId="77777777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 xml:space="preserve">È quanto emerge dal </w:t>
      </w:r>
      <w:r>
        <w:rPr>
          <w:rFonts w:ascii="Times New Roman" w:eastAsia="Times New Roman" w:hAnsi="Times New Roman"/>
          <w:b/>
        </w:rPr>
        <w:t>Report sul Livello di Sostenibilità Turistica delle destinazioni che ospitano un sito UNESCO</w:t>
      </w:r>
      <w:r>
        <w:rPr>
          <w:rFonts w:ascii="Times New Roman" w:eastAsia="Times New Roman" w:hAnsi="Times New Roman"/>
        </w:rPr>
        <w:t>, realizzato da ISNART – Istituto nazionale ricerche turistiche e culturali – nell’ambito del Progetto Speciale Mirabilia e promosso dalla Camera di Commercio Irpinia Sannio.</w:t>
      </w:r>
    </w:p>
    <w:p w14:paraId="366F2E17" w14:textId="77777777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 xml:space="preserve">Il report attribuisce alla destinazione un livello complessivo di sviluppo turistico del </w:t>
      </w:r>
      <w:r>
        <w:rPr>
          <w:rFonts w:ascii="Times New Roman" w:eastAsia="Times New Roman" w:hAnsi="Times New Roman"/>
          <w:b/>
        </w:rPr>
        <w:t>47%</w:t>
      </w:r>
      <w:r>
        <w:rPr>
          <w:rFonts w:ascii="Times New Roman" w:eastAsia="Times New Roman" w:hAnsi="Times New Roman"/>
        </w:rPr>
        <w:t>, collocandola in una fascia intermedia rispetto ai territori italiani più avanzati. I risultati migliori riguardano i prodotti turistici (57%), la governance (53%) e il rapporto con la comunità locale (51%), a conferma del valore del patrimonio culturale e della presenza di condizioni favorevoli alla sua valorizzazione.</w:t>
      </w:r>
    </w:p>
    <w:p w14:paraId="62480860" w14:textId="16E8740D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 xml:space="preserve">La criticità principale riguarda, invece, la capacità di trasformare l’attrattività culturale in flussi e soggiorni più consistenti. Il pilastro relativo ai turisti si ferma al </w:t>
      </w:r>
      <w:r>
        <w:rPr>
          <w:rFonts w:ascii="Times New Roman" w:eastAsia="Times New Roman" w:hAnsi="Times New Roman"/>
          <w:b/>
        </w:rPr>
        <w:t>24%</w:t>
      </w:r>
      <w:r>
        <w:rPr>
          <w:rFonts w:ascii="Times New Roman" w:eastAsia="Times New Roman" w:hAnsi="Times New Roman"/>
        </w:rPr>
        <w:t xml:space="preserve">; le presenze non hanno ancora recuperato i livelli del 2019 e la permanenza media è pari a </w:t>
      </w:r>
      <w:r>
        <w:rPr>
          <w:rFonts w:ascii="Times New Roman" w:eastAsia="Times New Roman" w:hAnsi="Times New Roman"/>
          <w:b/>
        </w:rPr>
        <w:t>1,6 notti</w:t>
      </w:r>
      <w:r>
        <w:rPr>
          <w:rFonts w:ascii="Times New Roman" w:eastAsia="Times New Roman" w:hAnsi="Times New Roman"/>
        </w:rPr>
        <w:t>. Il dato evidenzia la necessità di costruire esperienze più integrate, capaci di collegare il sito UNESCO con il sistema museale, gli altri attrattori, l’enogastronomia, gli eventi e le filiere produttive locali.</w:t>
      </w:r>
    </w:p>
    <w:p w14:paraId="00762F35" w14:textId="77777777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 xml:space="preserve">Segnali positivi arrivano dalla domanda culturale. Tra il 2017 e il 2024 i visitatori della rete museale provinciale sono passati da </w:t>
      </w:r>
      <w:r>
        <w:rPr>
          <w:rFonts w:ascii="Times New Roman" w:eastAsia="Times New Roman" w:hAnsi="Times New Roman"/>
          <w:b/>
        </w:rPr>
        <w:t>20.978 a oltre 35.000</w:t>
      </w:r>
      <w:r>
        <w:rPr>
          <w:rFonts w:ascii="Times New Roman" w:eastAsia="Times New Roman" w:hAnsi="Times New Roman"/>
        </w:rPr>
        <w:t>, con una crescita superiore al 65%. Nello stesso tempo le imprese turistiche attive nel comune sono aumentate da 543 nel 2019 a 581 nel 2025, mostrando una propensione del tessuto imprenditoriale a investire nel comparto nonostante il mancato pieno recupero delle presenze.</w:t>
      </w:r>
    </w:p>
    <w:p w14:paraId="50FDC00C" w14:textId="77777777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>Il quadro della sostenibilità è nel complesso equilibrato. La pressione turistica resta contenuta, con 0,4 presenze per residente nel 2024, e l’impatto dei flussi sulla produzione dei rifiuti è limitato. La città dispone inoltre di un’offerta culturale vivace e aderisce a numerose reti e itinerari nazionali. Restano da rafforzare l’accessibilità, la mobilità, la promozione integrata e gli investimenti nella tutela e valorizzazione del patrimonio culturale.</w:t>
      </w:r>
    </w:p>
    <w:p w14:paraId="31BD6441" w14:textId="6EB8CB52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>Le indicazioni strategiche del report convergono su alcuni obiettivi: aumentare la permanenza media, sviluppare un’offerta culturale distribuita durante tutto l’anno, rendere più visibili gli attrattori diffusi e favorire una maggiore integrazione tra patrimonio UNESCO, sistema museale, imprese turistiche, produzioni locali e comunità. Centrale è anche il consolidamento di una governance territoriale stabile, in grado di trasformare i dati in scelte condivise e misurabili.</w:t>
      </w:r>
    </w:p>
    <w:p w14:paraId="49BBD307" w14:textId="425CF642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lastRenderedPageBreak/>
        <w:t xml:space="preserve">“La Carta Nazionale della Sostenibilità Turistica delle destinazioni che ospitano un sito UNESCO è uno strumento operativo che consente ai territori di misurare i propri punti di forza e individuare con precisione gli ambiti sui quali intervenire – dichiara </w:t>
      </w:r>
      <w:r>
        <w:rPr>
          <w:rFonts w:ascii="Times New Roman" w:eastAsia="Times New Roman" w:hAnsi="Times New Roman"/>
          <w:b/>
        </w:rPr>
        <w:t>Loretta Credaro, presidente di ISNART</w:t>
      </w:r>
      <w:r>
        <w:rPr>
          <w:rFonts w:ascii="Times New Roman" w:eastAsia="Times New Roman" w:hAnsi="Times New Roman"/>
        </w:rPr>
        <w:t>. Il report dedicato a Benevento conferma come il patrimonio UNESCO costituisca una straordinaria leva di competitività. La destinazione dispone di solide basi culturali e istituzionali e può crescere ulteriormente investendo sull’integrazione dell’offerta, sull’accessibilità, sulla permanenza dei visitatori e sulla governance”.</w:t>
      </w:r>
    </w:p>
    <w:p w14:paraId="459B7CF9" w14:textId="77777777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 xml:space="preserve">“Il report ci consegna un quadro chiaro: Santa Sofia è un patrimonio di valore universale, ma la vera sfida è fare in modo che diventi sempre più la porta d’ingresso per conoscere Benevento, il Sannio e l’intero territorio Irpinia-Sannio – dichiara </w:t>
      </w:r>
      <w:r>
        <w:rPr>
          <w:rFonts w:ascii="Times New Roman" w:eastAsia="Times New Roman" w:hAnsi="Times New Roman"/>
          <w:b/>
        </w:rPr>
        <w:t>Girolamo Pettrone, Commissario straordinario della Camera di Commercio Irpinia Sannio</w:t>
      </w:r>
      <w:r>
        <w:rPr>
          <w:rFonts w:ascii="Times New Roman" w:eastAsia="Times New Roman" w:hAnsi="Times New Roman"/>
        </w:rPr>
        <w:t>. La crescita dei visitatori del sistema museale e delle imprese turistiche dimostra che esistono basi solide; occorre ora lavorare insieme per collegare cultura, accoglienza, enogastronomia, artigianato ed esperienze territoriali, così da aumentare la permanenza e generare ricadute più ampie per le imprese e le comunità. La Camera di Commercio continuerà a sostenere, anche attraverso Mirabilia, la collaborazione tra istituzioni e operatori e la costruzione di un’offerta turistica integrata, sostenibile e riconoscibile”.</w:t>
      </w:r>
    </w:p>
    <w:p w14:paraId="79163698" w14:textId="5FE3E7AD" w:rsidR="006A00AC" w:rsidRPr="006A00AC" w:rsidRDefault="006A00AC" w:rsidP="00A278C8">
      <w:pPr>
        <w:spacing w:before="100" w:beforeAutospacing="1" w:after="12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/>
        </w:rPr>
        <w:t>Il report completo e la scheda di sintesi dedicata s</w:t>
      </w:r>
      <w:r w:rsidR="00C83717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>no disponibili sul sito istituzionale della Camera di Commercio Irpinia Sannio.</w:t>
      </w:r>
    </w:p>
    <w:p w14:paraId="6BDCEBE5" w14:textId="77777777" w:rsidR="006A00AC" w:rsidRPr="006A00AC" w:rsidRDefault="006A00AC" w:rsidP="006A0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4BD0942B" w14:textId="77777777" w:rsidR="0036067A" w:rsidRPr="00CE177E" w:rsidRDefault="0036067A" w:rsidP="0036067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1BD1092B" w14:textId="77777777" w:rsidR="0036067A" w:rsidRPr="00CE177E" w:rsidRDefault="0036067A" w:rsidP="0036067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3D597E67" w14:textId="77777777" w:rsidR="0036067A" w:rsidRPr="00CE177E" w:rsidRDefault="0036067A" w:rsidP="0036067A">
      <w:pPr>
        <w:spacing w:before="240" w:after="240"/>
        <w:jc w:val="both"/>
        <w:rPr>
          <w:rFonts w:ascii="Times New Roman" w:eastAsia="Calibri" w:hAnsi="Times New Roman" w:cs="Times New Roman"/>
        </w:rPr>
      </w:pPr>
    </w:p>
    <w:p w14:paraId="50AF44C7" w14:textId="77777777" w:rsidR="0036067A" w:rsidRDefault="0036067A"/>
    <w:sectPr w:rsidR="0036067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2831" w14:textId="77777777" w:rsidR="00923B42" w:rsidRDefault="00923B42" w:rsidP="00854E3B">
      <w:pPr>
        <w:spacing w:after="0" w:line="240" w:lineRule="auto"/>
      </w:pPr>
      <w:r>
        <w:separator/>
      </w:r>
    </w:p>
  </w:endnote>
  <w:endnote w:type="continuationSeparator" w:id="0">
    <w:p w14:paraId="33B64750" w14:textId="77777777" w:rsidR="00923B42" w:rsidRDefault="00923B42" w:rsidP="0085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0A70" w14:textId="77777777" w:rsidR="00923B42" w:rsidRDefault="00923B42" w:rsidP="00854E3B">
      <w:pPr>
        <w:spacing w:after="0" w:line="240" w:lineRule="auto"/>
      </w:pPr>
      <w:r>
        <w:separator/>
      </w:r>
    </w:p>
  </w:footnote>
  <w:footnote w:type="continuationSeparator" w:id="0">
    <w:p w14:paraId="7774EC39" w14:textId="77777777" w:rsidR="00923B42" w:rsidRDefault="00923B42" w:rsidP="0085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3D5C" w14:textId="7FD99F89" w:rsidR="00854E3B" w:rsidRDefault="00AE478C">
    <w:pPr>
      <w:pStyle w:val="Intestazione"/>
    </w:pPr>
    <w:r>
      <w:rPr>
        <w:rFonts w:eastAsiaTheme="majorEastAsia"/>
        <w:b/>
        <w:bCs/>
        <w:noProof/>
        <w:color w:val="000000"/>
      </w:rPr>
      <w:drawing>
        <wp:anchor distT="0" distB="0" distL="114300" distR="114300" simplePos="0" relativeHeight="251660288" behindDoc="1" locked="0" layoutInCell="1" allowOverlap="1" wp14:anchorId="5ACA39F6" wp14:editId="381A9430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771650" cy="326390"/>
          <wp:effectExtent l="0" t="0" r="0" b="0"/>
          <wp:wrapTight wrapText="bothSides">
            <wp:wrapPolygon edited="0">
              <wp:start x="1394" y="0"/>
              <wp:lineTo x="0" y="0"/>
              <wp:lineTo x="0" y="15128"/>
              <wp:lineTo x="697" y="20171"/>
              <wp:lineTo x="2323" y="20171"/>
              <wp:lineTo x="21368" y="16389"/>
              <wp:lineTo x="21368" y="2521"/>
              <wp:lineTo x="3252" y="0"/>
              <wp:lineTo x="1394" y="0"/>
            </wp:wrapPolygon>
          </wp:wrapTight>
          <wp:docPr id="17319684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968434" name="Immagine 17319684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4E3B" w:rsidRPr="00FB3416">
      <w:rPr>
        <w:rFonts w:eastAsiaTheme="majorEastAsia"/>
        <w:b/>
        <w:bCs/>
        <w:noProof/>
        <w:color w:val="000000"/>
        <w:highlight w:val="yellow"/>
      </w:rPr>
      <w:drawing>
        <wp:anchor distT="0" distB="0" distL="114300" distR="114300" simplePos="0" relativeHeight="251659264" behindDoc="0" locked="0" layoutInCell="1" allowOverlap="1" wp14:anchorId="0048D99F" wp14:editId="38DEC119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809875" cy="704616"/>
          <wp:effectExtent l="0" t="0" r="0" b="635"/>
          <wp:wrapTopAndBottom/>
          <wp:docPr id="194248578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8578" name="Immagine 1" descr="Immagine che contiene testo, Carattere, logo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704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DB"/>
    <w:rsid w:val="000276DB"/>
    <w:rsid w:val="000E2C7B"/>
    <w:rsid w:val="000E3F09"/>
    <w:rsid w:val="000F0759"/>
    <w:rsid w:val="00114491"/>
    <w:rsid w:val="00144FEC"/>
    <w:rsid w:val="00153191"/>
    <w:rsid w:val="00162E75"/>
    <w:rsid w:val="001A7FE3"/>
    <w:rsid w:val="00232067"/>
    <w:rsid w:val="00257326"/>
    <w:rsid w:val="00270B79"/>
    <w:rsid w:val="002713C5"/>
    <w:rsid w:val="0027165C"/>
    <w:rsid w:val="00340CB7"/>
    <w:rsid w:val="0036067A"/>
    <w:rsid w:val="0040205C"/>
    <w:rsid w:val="004840C7"/>
    <w:rsid w:val="004A764A"/>
    <w:rsid w:val="004C4C7B"/>
    <w:rsid w:val="004C72F0"/>
    <w:rsid w:val="005117E8"/>
    <w:rsid w:val="005921DB"/>
    <w:rsid w:val="005E0632"/>
    <w:rsid w:val="006968F7"/>
    <w:rsid w:val="006A00AC"/>
    <w:rsid w:val="006F6947"/>
    <w:rsid w:val="007012F4"/>
    <w:rsid w:val="0071511E"/>
    <w:rsid w:val="0076200C"/>
    <w:rsid w:val="00785353"/>
    <w:rsid w:val="00796C53"/>
    <w:rsid w:val="007F23C1"/>
    <w:rsid w:val="00854E3B"/>
    <w:rsid w:val="008639C0"/>
    <w:rsid w:val="00865595"/>
    <w:rsid w:val="008901B6"/>
    <w:rsid w:val="008D698B"/>
    <w:rsid w:val="00900CAB"/>
    <w:rsid w:val="00923B42"/>
    <w:rsid w:val="00984A38"/>
    <w:rsid w:val="00993903"/>
    <w:rsid w:val="00993E9B"/>
    <w:rsid w:val="009B5DA6"/>
    <w:rsid w:val="009F54D1"/>
    <w:rsid w:val="00A278C8"/>
    <w:rsid w:val="00A328F0"/>
    <w:rsid w:val="00A35562"/>
    <w:rsid w:val="00AE478C"/>
    <w:rsid w:val="00B067EB"/>
    <w:rsid w:val="00B2592A"/>
    <w:rsid w:val="00B364C4"/>
    <w:rsid w:val="00B60E17"/>
    <w:rsid w:val="00BB626E"/>
    <w:rsid w:val="00BF7A20"/>
    <w:rsid w:val="00C24C93"/>
    <w:rsid w:val="00C37E3D"/>
    <w:rsid w:val="00C83717"/>
    <w:rsid w:val="00CA2777"/>
    <w:rsid w:val="00CD4F3E"/>
    <w:rsid w:val="00D1788B"/>
    <w:rsid w:val="00D30EAC"/>
    <w:rsid w:val="00D7295F"/>
    <w:rsid w:val="00DF62BF"/>
    <w:rsid w:val="00E07597"/>
    <w:rsid w:val="00E7121E"/>
    <w:rsid w:val="00F00A48"/>
    <w:rsid w:val="00F0437C"/>
    <w:rsid w:val="00F5774A"/>
    <w:rsid w:val="00F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304AD"/>
  <w15:chartTrackingRefBased/>
  <w15:docId w15:val="{1447D946-A32A-C046-8E77-1953D9F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21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21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21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21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21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21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21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21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21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21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21D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59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921DB"/>
    <w:rPr>
      <w:b/>
      <w:bCs/>
    </w:rPr>
  </w:style>
  <w:style w:type="character" w:customStyle="1" w:styleId="apple-converted-space">
    <w:name w:val="apple-converted-space"/>
    <w:basedOn w:val="Carpredefinitoparagrafo"/>
    <w:rsid w:val="005921DB"/>
  </w:style>
  <w:style w:type="paragraph" w:styleId="NormaleWeb">
    <w:name w:val="Normal (Web)"/>
    <w:basedOn w:val="Normale"/>
    <w:uiPriority w:val="99"/>
    <w:semiHidden/>
    <w:unhideWhenUsed/>
    <w:rsid w:val="0059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54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E3B"/>
  </w:style>
  <w:style w:type="paragraph" w:styleId="Pidipagina">
    <w:name w:val="footer"/>
    <w:basedOn w:val="Normale"/>
    <w:link w:val="PidipaginaCarattere"/>
    <w:uiPriority w:val="99"/>
    <w:unhideWhenUsed/>
    <w:rsid w:val="00854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E3B"/>
  </w:style>
  <w:style w:type="character" w:styleId="Rimandocommento">
    <w:name w:val="annotation reference"/>
    <w:basedOn w:val="Carpredefinitoparagrafo"/>
    <w:uiPriority w:val="99"/>
    <w:semiHidden/>
    <w:unhideWhenUsed/>
    <w:rsid w:val="00340C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C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C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0C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0CB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B5DA6"/>
    <w:pPr>
      <w:spacing w:after="0" w:line="240" w:lineRule="auto"/>
    </w:pPr>
  </w:style>
  <w:style w:type="paragraph" w:customStyle="1" w:styleId="pdq2pgselectionanchorcontainer">
    <w:name w:val="pdq2pg_selectionanchorcontainer"/>
    <w:basedOn w:val="Normale"/>
    <w:rsid w:val="006A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D7BF-BF6D-4EEC-985C-535AD14F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Marangon Michele</dc:creator>
  <cp:keywords/>
  <dc:description/>
  <cp:lastModifiedBy>Antonello Murru</cp:lastModifiedBy>
  <cp:revision>3</cp:revision>
  <dcterms:created xsi:type="dcterms:W3CDTF">2026-07-13T10:22:00Z</dcterms:created>
  <dcterms:modified xsi:type="dcterms:W3CDTF">2026-07-13T10:54:00Z</dcterms:modified>
</cp:coreProperties>
</file>